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E1" w:rsidRPr="00CD1CE1" w:rsidRDefault="00CD1CE1" w:rsidP="00CD1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E1">
        <w:rPr>
          <w:rFonts w:ascii="Times New Roman" w:hAnsi="Times New Roman" w:cs="Times New Roman"/>
          <w:b/>
          <w:sz w:val="28"/>
          <w:szCs w:val="28"/>
        </w:rPr>
        <w:t>Вопросы для подготовки к дифференцированному зачету</w:t>
      </w:r>
    </w:p>
    <w:p w:rsidR="00CD1CE1" w:rsidRPr="00CD1CE1" w:rsidRDefault="00CD1CE1" w:rsidP="00CD1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E1">
        <w:rPr>
          <w:rFonts w:ascii="Times New Roman" w:hAnsi="Times New Roman" w:cs="Times New Roman"/>
          <w:b/>
          <w:sz w:val="28"/>
          <w:szCs w:val="28"/>
        </w:rPr>
        <w:t>по дисциплине «Психология общения»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1. Сущность общения. Структура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2. Цели, содержание и средства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3. Функции общения. Стили и виды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4. Коммуникация, интеракция и социальная перцепция как взаимосвязанные стороны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5. Эффекты общения (первичности, новизны, ореола, стереотипа).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>6. Коммуникативные барьеры в общении.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 7. Способы вербального воздействия (убеждение, внушение, принуждение).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8. Психологические аспекты убеждения. Логические аспекты убеждения.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9. Внушение как явление и как технология. Законы организации информации.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10.Системы получения и обработки информации, их языковое выражение.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11.Понятие о невербальных средствах общения. Цели и задачи невербального общения. 12.Межнациональные различия невербального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>13.Понятие конфликта и его социальная роль.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 14.Источник и субъекты конфликта. Классификация конфликтов.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15.Причины и последствия конфликтов. Разрешение конфликтов и стратегии поведения в конфликтных ситуациях.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>16.Стрессы и стрессовые ситуации.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 17.Теория защитных механизмов. Защитные стратегии и стратегии совладения. Параметры защитных механизмов.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 18.Психологические защитные механизмы личности (вытеснение, регрессия, реактивное образование, изоляция, интроекция, сублимация и др.).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19.Механизмы взаимопонимания в общении: идентификация, </w:t>
      </w:r>
      <w:proofErr w:type="spellStart"/>
      <w:r w:rsidRPr="00CD1CE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D1CE1">
        <w:rPr>
          <w:rFonts w:ascii="Times New Roman" w:hAnsi="Times New Roman" w:cs="Times New Roman"/>
          <w:sz w:val="28"/>
          <w:szCs w:val="28"/>
        </w:rPr>
        <w:t xml:space="preserve">, аттракция, рефлексия. 20.Понятие о деловом общении. Этапы делового общения. Виды и формы делового общения. 21.Деловой разговор и деловая беседа. Спор. Дискуссия. Полемика. Собеседование. «Мозговой штурм». </w:t>
      </w:r>
      <w:r w:rsidRPr="00CD1CE1">
        <w:rPr>
          <w:rFonts w:ascii="Times New Roman" w:hAnsi="Times New Roman" w:cs="Times New Roman"/>
          <w:sz w:val="28"/>
          <w:szCs w:val="28"/>
        </w:rPr>
        <w:lastRenderedPageBreak/>
        <w:t xml:space="preserve">«Круглый стол». Деловые командные игры. Деловой стиль общения. Психология сотрудничества.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22.Этические нормы делового общения.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23.Культура речи делового человека. </w:t>
      </w:r>
    </w:p>
    <w:p w:rsidR="00CD1CE1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 xml:space="preserve">24.Модели поведения. Тактика общения. </w:t>
      </w:r>
    </w:p>
    <w:p w:rsidR="00DE3FDB" w:rsidRPr="00CD1CE1" w:rsidRDefault="00CD1CE1" w:rsidP="00CD1CE1">
      <w:pPr>
        <w:jc w:val="both"/>
        <w:rPr>
          <w:rFonts w:ascii="Times New Roman" w:hAnsi="Times New Roman" w:cs="Times New Roman"/>
          <w:sz w:val="28"/>
          <w:szCs w:val="28"/>
        </w:rPr>
      </w:pPr>
      <w:r w:rsidRPr="00CD1CE1">
        <w:rPr>
          <w:rFonts w:ascii="Times New Roman" w:hAnsi="Times New Roman" w:cs="Times New Roman"/>
          <w:sz w:val="28"/>
          <w:szCs w:val="28"/>
        </w:rPr>
        <w:t>25.Понятие об этике. Понятие об этикете, истории его возникновения и развития. Деловой этикет. Правила этикета.</w:t>
      </w:r>
    </w:p>
    <w:sectPr w:rsidR="00DE3FDB" w:rsidRPr="00CD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1CE1"/>
    <w:rsid w:val="00CD1CE1"/>
    <w:rsid w:val="00D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2020-05-17T13:11:00Z</dcterms:created>
  <dcterms:modified xsi:type="dcterms:W3CDTF">2020-05-17T13:19:00Z</dcterms:modified>
</cp:coreProperties>
</file>